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21" w:rsidRPr="00E228DC" w:rsidRDefault="00E228DC">
      <w:pPr>
        <w:rPr>
          <w:sz w:val="28"/>
        </w:rPr>
      </w:pPr>
      <w:r w:rsidRPr="00E228DC">
        <w:rPr>
          <w:sz w:val="28"/>
        </w:rPr>
        <w:t xml:space="preserve">Featherman’s </w:t>
      </w:r>
      <w:r w:rsidR="00F66F54" w:rsidRPr="00E228DC">
        <w:rPr>
          <w:sz w:val="28"/>
        </w:rPr>
        <w:t>Date and T</w:t>
      </w:r>
      <w:r w:rsidR="00816721" w:rsidRPr="00E228DC">
        <w:rPr>
          <w:sz w:val="28"/>
        </w:rPr>
        <w:t xml:space="preserve">ime </w:t>
      </w:r>
      <w:r w:rsidR="00F66F54" w:rsidRPr="00E228DC">
        <w:rPr>
          <w:sz w:val="28"/>
        </w:rPr>
        <w:t xml:space="preserve">DAX </w:t>
      </w:r>
      <w:r w:rsidR="00816721" w:rsidRPr="00E228DC">
        <w:rPr>
          <w:sz w:val="28"/>
        </w:rPr>
        <w:t>Functions</w:t>
      </w:r>
      <w:bookmarkStart w:id="0" w:name="_GoBack"/>
      <w:bookmarkEnd w:id="0"/>
    </w:p>
    <w:p w:rsidR="003E14E8" w:rsidRDefault="003E14E8">
      <w:r>
        <w:t xml:space="preserve">We will make some measures here. Measures are not stored in columns for every row of a table. Rather they are expressions (formulas) that can be placed into charts, maps, tables, and matrices and depending on the evaluation context (the filtering in </w:t>
      </w:r>
      <w:r w:rsidR="001C109E">
        <w:t>the object.)</w:t>
      </w:r>
      <w:r w:rsidR="00123E14">
        <w:t xml:space="preserve"> The amazing innovation with measures is that they can perform different calculations depening on where they are used, so they are portable logic.</w:t>
      </w:r>
    </w:p>
    <w:p w:rsidR="001C109E" w:rsidRDefault="001C109E">
      <w:r>
        <w:t>These formulas depend on a date table being added to the data model. A date table is a custom made table of dates and there is a row for each day in the year whether there is a sale on that day or not.</w:t>
      </w:r>
    </w:p>
    <w:tbl>
      <w:tblPr>
        <w:tblStyle w:val="TableGrid"/>
        <w:tblW w:w="10435" w:type="dxa"/>
        <w:tblLook w:val="04A0" w:firstRow="1" w:lastRow="0" w:firstColumn="1" w:lastColumn="0" w:noHBand="0" w:noVBand="1"/>
      </w:tblPr>
      <w:tblGrid>
        <w:gridCol w:w="345"/>
        <w:gridCol w:w="5547"/>
        <w:gridCol w:w="4543"/>
      </w:tblGrid>
      <w:tr w:rsidR="00816721" w:rsidTr="001E2373">
        <w:tc>
          <w:tcPr>
            <w:tcW w:w="345" w:type="dxa"/>
          </w:tcPr>
          <w:p w:rsidR="00816721" w:rsidRDefault="00816721">
            <w:r>
              <w:t>1</w:t>
            </w:r>
          </w:p>
        </w:tc>
        <w:tc>
          <w:tcPr>
            <w:tcW w:w="5576" w:type="dxa"/>
          </w:tcPr>
          <w:p w:rsidR="00123E14" w:rsidRDefault="003E14E8" w:rsidP="003E14E8">
            <w:r w:rsidRPr="003E14E8">
              <w:t xml:space="preserve">TotalUnits = </w:t>
            </w:r>
          </w:p>
          <w:p w:rsidR="00B15C61" w:rsidRDefault="00123E14" w:rsidP="003E14E8">
            <w:r>
              <w:t>SUM</w:t>
            </w:r>
            <w:r w:rsidR="003E14E8" w:rsidRPr="003E14E8">
              <w:t>(Sales[SalesQuantity])</w:t>
            </w:r>
          </w:p>
        </w:tc>
        <w:tc>
          <w:tcPr>
            <w:tcW w:w="4514" w:type="dxa"/>
          </w:tcPr>
          <w:p w:rsidR="00816721" w:rsidRDefault="003E14E8">
            <w:r>
              <w:t>This will provide a sum of the units sold on sales invoices. Depending on the slicers and row and column headings the returned result will compute.</w:t>
            </w:r>
          </w:p>
          <w:p w:rsidR="003E14E8" w:rsidRDefault="003E14E8"/>
        </w:tc>
      </w:tr>
      <w:tr w:rsidR="00816721" w:rsidTr="001C109E">
        <w:tc>
          <w:tcPr>
            <w:tcW w:w="355" w:type="dxa"/>
          </w:tcPr>
          <w:p w:rsidR="00816721" w:rsidRDefault="003E14E8">
            <w:r>
              <w:t>2</w:t>
            </w:r>
          </w:p>
        </w:tc>
        <w:tc>
          <w:tcPr>
            <w:tcW w:w="4320" w:type="dxa"/>
          </w:tcPr>
          <w:p w:rsidR="00123E14" w:rsidRDefault="003E14E8" w:rsidP="00392F17">
            <w:r w:rsidRPr="003E14E8">
              <w:t xml:space="preserve">PrevQtrUnits = </w:t>
            </w:r>
          </w:p>
          <w:p w:rsidR="00816721" w:rsidRDefault="003E14E8" w:rsidP="00392F17">
            <w:r w:rsidRPr="00CA1FF5">
              <w:rPr>
                <w:color w:val="FF0000"/>
              </w:rPr>
              <w:t>CALCULATE</w:t>
            </w:r>
            <w:r w:rsidRPr="003E14E8">
              <w:t xml:space="preserve">(SUM(Sales[SalesQuantity]), </w:t>
            </w:r>
            <w:r w:rsidRPr="00392F17">
              <w:rPr>
                <w:color w:val="FF0000"/>
              </w:rPr>
              <w:t>PREVIOUSQUARTER</w:t>
            </w:r>
            <w:r w:rsidRPr="003E14E8">
              <w:t>(Calendar[DateKey]))</w:t>
            </w:r>
            <w:r w:rsidR="00392F17">
              <w:br/>
            </w:r>
            <w:r w:rsidR="00392F17">
              <w:br/>
            </w:r>
          </w:p>
        </w:tc>
        <w:tc>
          <w:tcPr>
            <w:tcW w:w="5760" w:type="dxa"/>
          </w:tcPr>
          <w:p w:rsidR="00816721" w:rsidRDefault="003E14E8">
            <w:r>
              <w:t xml:space="preserve">This </w:t>
            </w:r>
            <w:r w:rsidR="002B5472">
              <w:t xml:space="preserve">measure has a </w:t>
            </w:r>
            <w:r>
              <w:t>formula will calculate the number of units sold for the previous quarter. This is made possible by a connection to a date table both tables have a datekey which is a date field datatype.</w:t>
            </w:r>
          </w:p>
          <w:p w:rsidR="0060187D" w:rsidRDefault="0060187D"/>
        </w:tc>
      </w:tr>
      <w:tr w:rsidR="00816721" w:rsidTr="001C109E">
        <w:tc>
          <w:tcPr>
            <w:tcW w:w="355" w:type="dxa"/>
          </w:tcPr>
          <w:p w:rsidR="00816721" w:rsidRDefault="003E14E8">
            <w:r>
              <w:t>3</w:t>
            </w:r>
          </w:p>
        </w:tc>
        <w:tc>
          <w:tcPr>
            <w:tcW w:w="4320" w:type="dxa"/>
          </w:tcPr>
          <w:p w:rsidR="00123E14" w:rsidRDefault="003E14E8">
            <w:r w:rsidRPr="003E14E8">
              <w:t xml:space="preserve">DeltaUnitsQtr = </w:t>
            </w:r>
          </w:p>
          <w:p w:rsidR="00816721" w:rsidRDefault="003E14E8">
            <w:r w:rsidRPr="003E14E8">
              <w:t>([TotalUnits]-[PrevQtrUnits])/[PrevQtrUnits]</w:t>
            </w:r>
          </w:p>
        </w:tc>
        <w:tc>
          <w:tcPr>
            <w:tcW w:w="5760" w:type="dxa"/>
          </w:tcPr>
          <w:p w:rsidR="00816721" w:rsidRDefault="002B5472">
            <w:r>
              <w:t xml:space="preserve">Be sure to format this measure to show a percentage. The structure is </w:t>
            </w:r>
            <w:r>
              <w:br/>
              <w:t>(this quarter – last quarter)/last quarter</w:t>
            </w:r>
          </w:p>
          <w:p w:rsidR="002B5472" w:rsidRDefault="002B5472"/>
        </w:tc>
      </w:tr>
      <w:tr w:rsidR="00EF02E3" w:rsidTr="001C109E">
        <w:tc>
          <w:tcPr>
            <w:tcW w:w="355" w:type="dxa"/>
          </w:tcPr>
          <w:p w:rsidR="00EF02E3" w:rsidRDefault="00EF02E3">
            <w:r>
              <w:t>4</w:t>
            </w:r>
          </w:p>
        </w:tc>
        <w:tc>
          <w:tcPr>
            <w:tcW w:w="4320" w:type="dxa"/>
          </w:tcPr>
          <w:p w:rsidR="00EF02E3" w:rsidRDefault="00EF02E3">
            <w:r w:rsidRPr="00EF02E3">
              <w:t xml:space="preserve">YTDUnits = </w:t>
            </w:r>
            <w:r w:rsidRPr="00EF02E3">
              <w:rPr>
                <w:color w:val="FF0000"/>
              </w:rPr>
              <w:t>TOTALYTD</w:t>
            </w:r>
            <w:r w:rsidRPr="00EF02E3">
              <w:t>(SUM(Sales[SalesQuantity]),'Calendar'[DateKey])</w:t>
            </w:r>
          </w:p>
          <w:p w:rsidR="00EF02E3" w:rsidRPr="001C109E" w:rsidRDefault="00EF02E3"/>
        </w:tc>
        <w:tc>
          <w:tcPr>
            <w:tcW w:w="5760" w:type="dxa"/>
          </w:tcPr>
          <w:p w:rsidR="00EF02E3" w:rsidRDefault="00EF02E3" w:rsidP="001C109E">
            <w:pPr>
              <w:ind w:right="76"/>
            </w:pPr>
          </w:p>
        </w:tc>
      </w:tr>
      <w:tr w:rsidR="00816721" w:rsidTr="001C109E">
        <w:tc>
          <w:tcPr>
            <w:tcW w:w="355" w:type="dxa"/>
          </w:tcPr>
          <w:p w:rsidR="00816721" w:rsidRDefault="00EF02E3">
            <w:r>
              <w:t>5</w:t>
            </w:r>
          </w:p>
        </w:tc>
        <w:tc>
          <w:tcPr>
            <w:tcW w:w="4320" w:type="dxa"/>
          </w:tcPr>
          <w:p w:rsidR="00123E14" w:rsidRDefault="001C109E">
            <w:r w:rsidRPr="001C109E">
              <w:t xml:space="preserve">YOYQTR_Units = </w:t>
            </w:r>
          </w:p>
          <w:p w:rsidR="00816721" w:rsidRDefault="001C109E">
            <w:r w:rsidRPr="001C109E">
              <w:t xml:space="preserve">CALCULATE(sum(Sales[SalesQuantity]), </w:t>
            </w:r>
            <w:r w:rsidRPr="00392F17">
              <w:rPr>
                <w:color w:val="FF0000"/>
              </w:rPr>
              <w:t>SAMEPERIODLASTYEAR</w:t>
            </w:r>
            <w:r w:rsidRPr="001C109E">
              <w:t>('Calendar'[DateKey]))</w:t>
            </w:r>
          </w:p>
        </w:tc>
        <w:tc>
          <w:tcPr>
            <w:tcW w:w="5760" w:type="dxa"/>
          </w:tcPr>
          <w:p w:rsidR="00816721" w:rsidRDefault="001C109E" w:rsidP="001C109E">
            <w:pPr>
              <w:ind w:right="76"/>
            </w:pPr>
            <w:r>
              <w:t>The calculate function allows you to provide several layers of filters, one of which is called Sameperiod last year. Here you can see the quarter was not specified, but the formula figured out the evaluation context.</w:t>
            </w:r>
            <w:r>
              <w:br/>
            </w:r>
            <w:r>
              <w:br/>
              <w:t>The SUM part of the CALCULATE function is the same as formula in #1 above. The filter here figures out the same time period last year. When we practice all of these formulas again using Month data you can see the magic of this function – SAMEPERIODLASTYEAR</w:t>
            </w:r>
          </w:p>
          <w:p w:rsidR="001C109E" w:rsidRDefault="001C109E" w:rsidP="001C109E">
            <w:pPr>
              <w:ind w:right="76"/>
            </w:pPr>
          </w:p>
          <w:p w:rsidR="001C109E" w:rsidRDefault="001C109E" w:rsidP="001C109E">
            <w:pPr>
              <w:ind w:right="76"/>
            </w:pPr>
            <w:r>
              <w:t xml:space="preserve">The formula works because there is a link between the fact table and the calendar table. </w:t>
            </w:r>
          </w:p>
        </w:tc>
      </w:tr>
      <w:tr w:rsidR="00787322" w:rsidTr="001E2373">
        <w:tc>
          <w:tcPr>
            <w:tcW w:w="355" w:type="dxa"/>
            <w:tcBorders>
              <w:bottom w:val="single" w:sz="4" w:space="0" w:color="auto"/>
            </w:tcBorders>
          </w:tcPr>
          <w:p w:rsidR="00787322" w:rsidRDefault="00EF02E3">
            <w:r>
              <w:t>6</w:t>
            </w:r>
          </w:p>
        </w:tc>
        <w:tc>
          <w:tcPr>
            <w:tcW w:w="4320" w:type="dxa"/>
            <w:tcBorders>
              <w:bottom w:val="single" w:sz="4" w:space="0" w:color="auto"/>
            </w:tcBorders>
          </w:tcPr>
          <w:p w:rsidR="00787322" w:rsidRDefault="00787322">
            <w:r w:rsidRPr="00787322">
              <w:t xml:space="preserve">YOY%DeltaUnits = </w:t>
            </w:r>
          </w:p>
          <w:p w:rsidR="00787322" w:rsidRPr="001C109E" w:rsidRDefault="00787322">
            <w:r w:rsidRPr="00787322">
              <w:t>([TotalUnits] - [YOYQTR_Units])</w:t>
            </w:r>
            <w:r>
              <w:t xml:space="preserve"> </w:t>
            </w:r>
            <w:r w:rsidR="00CA1FF5">
              <w:br/>
            </w:r>
            <w:r w:rsidRPr="00787322">
              <w:t>/[YOYQTR_Units]</w:t>
            </w:r>
          </w:p>
        </w:tc>
        <w:tc>
          <w:tcPr>
            <w:tcW w:w="5760" w:type="dxa"/>
            <w:tcBorders>
              <w:bottom w:val="single" w:sz="4" w:space="0" w:color="auto"/>
            </w:tcBorders>
          </w:tcPr>
          <w:p w:rsidR="00787322" w:rsidRDefault="00787322" w:rsidP="001C109E">
            <w:pPr>
              <w:ind w:right="76"/>
            </w:pPr>
            <w:r>
              <w:t>We can see the change in units sold as compared to the prior year. Again the formula is (the new period – the old period)/Old period</w:t>
            </w:r>
          </w:p>
          <w:p w:rsidR="00392F17" w:rsidRDefault="00392F17" w:rsidP="001C109E">
            <w:pPr>
              <w:ind w:right="76"/>
            </w:pPr>
          </w:p>
        </w:tc>
      </w:tr>
    </w:tbl>
    <w:p w:rsidR="001E2373" w:rsidRDefault="001E2373">
      <w:r>
        <w:br w:type="page"/>
      </w:r>
    </w:p>
    <w:tbl>
      <w:tblPr>
        <w:tblStyle w:val="TableGrid"/>
        <w:tblW w:w="10435" w:type="dxa"/>
        <w:tblLook w:val="04A0" w:firstRow="1" w:lastRow="0" w:firstColumn="1" w:lastColumn="0" w:noHBand="0" w:noVBand="1"/>
      </w:tblPr>
      <w:tblGrid>
        <w:gridCol w:w="440"/>
        <w:gridCol w:w="5576"/>
        <w:gridCol w:w="4419"/>
      </w:tblGrid>
      <w:tr w:rsidR="001E2373" w:rsidTr="00E228DC">
        <w:tc>
          <w:tcPr>
            <w:tcW w:w="440" w:type="dxa"/>
            <w:tcBorders>
              <w:top w:val="single" w:sz="4" w:space="0" w:color="auto"/>
              <w:left w:val="single" w:sz="4" w:space="0" w:color="auto"/>
              <w:bottom w:val="single" w:sz="4" w:space="0" w:color="auto"/>
              <w:right w:val="nil"/>
            </w:tcBorders>
          </w:tcPr>
          <w:p w:rsidR="001E2373" w:rsidRDefault="001E2373"/>
        </w:tc>
        <w:tc>
          <w:tcPr>
            <w:tcW w:w="5576" w:type="dxa"/>
            <w:tcBorders>
              <w:top w:val="single" w:sz="4" w:space="0" w:color="auto"/>
              <w:left w:val="nil"/>
              <w:bottom w:val="single" w:sz="4" w:space="0" w:color="auto"/>
              <w:right w:val="nil"/>
            </w:tcBorders>
          </w:tcPr>
          <w:p w:rsidR="001E2373" w:rsidRDefault="001E2373">
            <w:r>
              <w:t>In-class student challenge #1</w:t>
            </w:r>
          </w:p>
          <w:p w:rsidR="00303DB5" w:rsidRPr="00392F17" w:rsidRDefault="00303DB5"/>
        </w:tc>
        <w:tc>
          <w:tcPr>
            <w:tcW w:w="4419" w:type="dxa"/>
            <w:tcBorders>
              <w:top w:val="single" w:sz="4" w:space="0" w:color="auto"/>
              <w:left w:val="nil"/>
              <w:bottom w:val="single" w:sz="4" w:space="0" w:color="auto"/>
              <w:right w:val="single" w:sz="4" w:space="0" w:color="auto"/>
            </w:tcBorders>
          </w:tcPr>
          <w:p w:rsidR="001E2373" w:rsidRDefault="001E2373" w:rsidP="001C109E">
            <w:pPr>
              <w:ind w:right="76"/>
            </w:pPr>
          </w:p>
        </w:tc>
      </w:tr>
      <w:tr w:rsidR="00392F17" w:rsidTr="00E228DC">
        <w:tc>
          <w:tcPr>
            <w:tcW w:w="440" w:type="dxa"/>
            <w:tcBorders>
              <w:top w:val="single" w:sz="4" w:space="0" w:color="auto"/>
              <w:bottom w:val="single" w:sz="4" w:space="0" w:color="auto"/>
            </w:tcBorders>
          </w:tcPr>
          <w:p w:rsidR="00392F17" w:rsidRDefault="00EF02E3">
            <w:r>
              <w:t>7</w:t>
            </w:r>
          </w:p>
        </w:tc>
        <w:tc>
          <w:tcPr>
            <w:tcW w:w="5576" w:type="dxa"/>
            <w:tcBorders>
              <w:top w:val="single" w:sz="4" w:space="0" w:color="auto"/>
              <w:bottom w:val="single" w:sz="4" w:space="0" w:color="auto"/>
            </w:tcBorders>
          </w:tcPr>
          <w:p w:rsidR="00123E14" w:rsidRDefault="00392F17">
            <w:r w:rsidRPr="00392F17">
              <w:t xml:space="preserve">PrevMonthUnits = </w:t>
            </w:r>
          </w:p>
          <w:p w:rsidR="00392F17" w:rsidRPr="00787322" w:rsidRDefault="00392F17">
            <w:r w:rsidRPr="00392F17">
              <w:t xml:space="preserve">CALCULATE(SUM(Sales[SalesQuantity]), </w:t>
            </w:r>
            <w:r w:rsidRPr="00392F17">
              <w:rPr>
                <w:color w:val="FF0000"/>
              </w:rPr>
              <w:t>PREVIOUSMONTH</w:t>
            </w:r>
            <w:r w:rsidRPr="00392F17">
              <w:t>(Calendar[DateKey]))</w:t>
            </w:r>
          </w:p>
        </w:tc>
        <w:tc>
          <w:tcPr>
            <w:tcW w:w="4419" w:type="dxa"/>
            <w:tcBorders>
              <w:top w:val="single" w:sz="4" w:space="0" w:color="auto"/>
              <w:bottom w:val="single" w:sz="4" w:space="0" w:color="auto"/>
            </w:tcBorders>
          </w:tcPr>
          <w:p w:rsidR="00392F17" w:rsidRDefault="00392F17" w:rsidP="001C109E">
            <w:pPr>
              <w:ind w:right="76"/>
            </w:pPr>
            <w:r>
              <w:t>This formula is essentially the same as # 2 above. Please go ahead and create this formula and recreate formulas  3, 4, 5</w:t>
            </w:r>
            <w:r w:rsidR="001E2373">
              <w:t>,6</w:t>
            </w:r>
            <w:r>
              <w:t xml:space="preserve"> using a month time frame.</w:t>
            </w:r>
          </w:p>
          <w:p w:rsidR="00392F17" w:rsidRDefault="00392F17" w:rsidP="001C109E">
            <w:pPr>
              <w:ind w:right="76"/>
            </w:pPr>
          </w:p>
        </w:tc>
      </w:tr>
      <w:tr w:rsidR="001E2373" w:rsidTr="00E228DC">
        <w:tc>
          <w:tcPr>
            <w:tcW w:w="440" w:type="dxa"/>
            <w:tcBorders>
              <w:top w:val="single" w:sz="4" w:space="0" w:color="auto"/>
              <w:left w:val="single" w:sz="4" w:space="0" w:color="auto"/>
              <w:bottom w:val="single" w:sz="4" w:space="0" w:color="auto"/>
              <w:right w:val="nil"/>
            </w:tcBorders>
          </w:tcPr>
          <w:p w:rsidR="001E2373" w:rsidRDefault="001E2373"/>
        </w:tc>
        <w:tc>
          <w:tcPr>
            <w:tcW w:w="5576" w:type="dxa"/>
            <w:tcBorders>
              <w:top w:val="single" w:sz="4" w:space="0" w:color="auto"/>
              <w:left w:val="nil"/>
              <w:bottom w:val="single" w:sz="4" w:space="0" w:color="auto"/>
              <w:right w:val="nil"/>
            </w:tcBorders>
          </w:tcPr>
          <w:p w:rsidR="001E2373" w:rsidRDefault="00303DB5" w:rsidP="00AE39AE">
            <w:r>
              <w:t>In-Class student challenge #2</w:t>
            </w:r>
          </w:p>
          <w:p w:rsidR="00303DB5" w:rsidRDefault="00303DB5" w:rsidP="00AE39AE"/>
        </w:tc>
        <w:tc>
          <w:tcPr>
            <w:tcW w:w="4419" w:type="dxa"/>
            <w:tcBorders>
              <w:top w:val="single" w:sz="4" w:space="0" w:color="auto"/>
              <w:left w:val="nil"/>
              <w:bottom w:val="single" w:sz="4" w:space="0" w:color="auto"/>
              <w:right w:val="single" w:sz="4" w:space="0" w:color="auto"/>
            </w:tcBorders>
          </w:tcPr>
          <w:p w:rsidR="001E2373" w:rsidRDefault="001E2373" w:rsidP="00701726">
            <w:pPr>
              <w:ind w:right="76"/>
            </w:pPr>
          </w:p>
        </w:tc>
      </w:tr>
      <w:tr w:rsidR="00CA1FF5" w:rsidTr="00E228DC">
        <w:tc>
          <w:tcPr>
            <w:tcW w:w="440" w:type="dxa"/>
            <w:tcBorders>
              <w:top w:val="single" w:sz="4" w:space="0" w:color="auto"/>
              <w:bottom w:val="single" w:sz="4" w:space="0" w:color="auto"/>
            </w:tcBorders>
          </w:tcPr>
          <w:p w:rsidR="00CA1FF5" w:rsidRDefault="00AE39AE">
            <w:r>
              <w:t>8</w:t>
            </w:r>
          </w:p>
        </w:tc>
        <w:tc>
          <w:tcPr>
            <w:tcW w:w="5576" w:type="dxa"/>
            <w:tcBorders>
              <w:top w:val="single" w:sz="4" w:space="0" w:color="auto"/>
              <w:bottom w:val="single" w:sz="4" w:space="0" w:color="auto"/>
            </w:tcBorders>
          </w:tcPr>
          <w:p w:rsidR="00AE39AE" w:rsidRDefault="00AE39AE" w:rsidP="00AE39AE">
            <w:r>
              <w:t>M</w:t>
            </w:r>
            <w:r w:rsidRPr="00EF02E3">
              <w:t xml:space="preserve">TDUnits = </w:t>
            </w:r>
            <w:r w:rsidRPr="00EF02E3">
              <w:rPr>
                <w:color w:val="FF0000"/>
              </w:rPr>
              <w:t>TOTAL</w:t>
            </w:r>
            <w:r>
              <w:rPr>
                <w:color w:val="FF0000"/>
              </w:rPr>
              <w:t>M</w:t>
            </w:r>
            <w:r w:rsidRPr="00EF02E3">
              <w:rPr>
                <w:color w:val="FF0000"/>
              </w:rPr>
              <w:t>TD</w:t>
            </w:r>
            <w:r w:rsidRPr="00EF02E3">
              <w:t>(SUM(Sales[SalesQuantity]),'Calendar'[DateKey])</w:t>
            </w:r>
          </w:p>
          <w:p w:rsidR="00CA1FF5" w:rsidRPr="00392F17" w:rsidRDefault="00CA1FF5"/>
        </w:tc>
        <w:tc>
          <w:tcPr>
            <w:tcW w:w="4419" w:type="dxa"/>
            <w:tcBorders>
              <w:top w:val="single" w:sz="4" w:space="0" w:color="auto"/>
              <w:bottom w:val="single" w:sz="4" w:space="0" w:color="auto"/>
            </w:tcBorders>
          </w:tcPr>
          <w:p w:rsidR="00CA1FF5" w:rsidRDefault="00AE39AE" w:rsidP="00701726">
            <w:pPr>
              <w:ind w:right="76"/>
            </w:pPr>
            <w:r>
              <w:t xml:space="preserve">Make a new tab on your dashboard and display unit sales by the day. Then add a </w:t>
            </w:r>
            <w:r w:rsidR="00701726">
              <w:t xml:space="preserve">mothtodate and a year to date colulmn and % change formulas. These columns will </w:t>
            </w:r>
            <w:r>
              <w:t>keep a running total of sales.</w:t>
            </w:r>
          </w:p>
        </w:tc>
      </w:tr>
      <w:tr w:rsidR="00303DB5" w:rsidTr="00E228DC">
        <w:tc>
          <w:tcPr>
            <w:tcW w:w="440" w:type="dxa"/>
            <w:tcBorders>
              <w:top w:val="single" w:sz="4" w:space="0" w:color="auto"/>
              <w:left w:val="single" w:sz="4" w:space="0" w:color="auto"/>
              <w:bottom w:val="single" w:sz="4" w:space="0" w:color="auto"/>
              <w:right w:val="nil"/>
            </w:tcBorders>
          </w:tcPr>
          <w:p w:rsidR="00303DB5" w:rsidRDefault="00303DB5"/>
        </w:tc>
        <w:tc>
          <w:tcPr>
            <w:tcW w:w="5576" w:type="dxa"/>
            <w:tcBorders>
              <w:top w:val="single" w:sz="4" w:space="0" w:color="auto"/>
              <w:left w:val="nil"/>
              <w:bottom w:val="single" w:sz="4" w:space="0" w:color="auto"/>
              <w:right w:val="nil"/>
            </w:tcBorders>
          </w:tcPr>
          <w:p w:rsidR="00303DB5" w:rsidRDefault="00303DB5" w:rsidP="00AE39AE">
            <w:r>
              <w:t>Fixing some problems with comparison functions</w:t>
            </w:r>
          </w:p>
          <w:p w:rsidR="00303DB5" w:rsidRPr="00303DB5" w:rsidRDefault="00303DB5" w:rsidP="00AE39AE"/>
        </w:tc>
        <w:tc>
          <w:tcPr>
            <w:tcW w:w="4419" w:type="dxa"/>
            <w:tcBorders>
              <w:top w:val="single" w:sz="4" w:space="0" w:color="auto"/>
              <w:left w:val="nil"/>
              <w:bottom w:val="single" w:sz="4" w:space="0" w:color="auto"/>
              <w:right w:val="single" w:sz="4" w:space="0" w:color="auto"/>
            </w:tcBorders>
          </w:tcPr>
          <w:p w:rsidR="00303DB5" w:rsidRDefault="00303DB5" w:rsidP="00701726">
            <w:pPr>
              <w:ind w:right="76"/>
            </w:pPr>
          </w:p>
        </w:tc>
      </w:tr>
      <w:tr w:rsidR="00303DB5" w:rsidTr="00E228DC">
        <w:tc>
          <w:tcPr>
            <w:tcW w:w="440" w:type="dxa"/>
            <w:tcBorders>
              <w:top w:val="single" w:sz="4" w:space="0" w:color="auto"/>
              <w:bottom w:val="single" w:sz="4" w:space="0" w:color="auto"/>
            </w:tcBorders>
          </w:tcPr>
          <w:p w:rsidR="00303DB5" w:rsidRDefault="00303DB5">
            <w:r>
              <w:t>9</w:t>
            </w:r>
          </w:p>
        </w:tc>
        <w:tc>
          <w:tcPr>
            <w:tcW w:w="5576" w:type="dxa"/>
            <w:tcBorders>
              <w:top w:val="single" w:sz="4" w:space="0" w:color="auto"/>
              <w:bottom w:val="single" w:sz="4" w:space="0" w:color="auto"/>
            </w:tcBorders>
          </w:tcPr>
          <w:p w:rsidR="00A950B6" w:rsidRDefault="00303DB5" w:rsidP="00A950B6">
            <w:r w:rsidRPr="00303DB5">
              <w:t xml:space="preserve">YOYDeltaUnitsFixed = </w:t>
            </w:r>
          </w:p>
          <w:p w:rsidR="00303DB5" w:rsidRDefault="00303DB5" w:rsidP="00A950B6">
            <w:r w:rsidRPr="00303DB5">
              <w:t>IF([YOYQTR_Units]=0," ",</w:t>
            </w:r>
            <w:r w:rsidR="005E0CA1">
              <w:br/>
            </w:r>
            <w:r w:rsidRPr="00303DB5">
              <w:t>([TotalUnits] - [YOYQTR_Units])/[YOYQTR_Units])</w:t>
            </w:r>
          </w:p>
        </w:tc>
        <w:tc>
          <w:tcPr>
            <w:tcW w:w="4419" w:type="dxa"/>
            <w:tcBorders>
              <w:top w:val="single" w:sz="4" w:space="0" w:color="auto"/>
              <w:bottom w:val="single" w:sz="4" w:space="0" w:color="auto"/>
            </w:tcBorders>
          </w:tcPr>
          <w:p w:rsidR="005E0CA1" w:rsidRDefault="005E0CA1" w:rsidP="00701726">
            <w:pPr>
              <w:ind w:right="76"/>
            </w:pPr>
            <w:r>
              <w:t>The formatting is = IF(test condition, action if test condition is true, action if test condition is false)</w:t>
            </w:r>
          </w:p>
          <w:p w:rsidR="005E0CA1" w:rsidRDefault="005E0CA1" w:rsidP="00701726">
            <w:pPr>
              <w:ind w:right="76"/>
            </w:pPr>
          </w:p>
          <w:p w:rsidR="00303DB5" w:rsidRDefault="005E0CA1" w:rsidP="00701726">
            <w:pPr>
              <w:ind w:right="76"/>
            </w:pPr>
            <w:r>
              <w:t>This formula reads if the prior year # units is 0 then place a blank in the column, otherwise do the formula.</w:t>
            </w:r>
          </w:p>
        </w:tc>
      </w:tr>
    </w:tbl>
    <w:p w:rsidR="00816721" w:rsidRDefault="00816721"/>
    <w:sectPr w:rsidR="00816721" w:rsidSect="00816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21"/>
    <w:rsid w:val="00123E14"/>
    <w:rsid w:val="001C109E"/>
    <w:rsid w:val="001E2373"/>
    <w:rsid w:val="002B5472"/>
    <w:rsid w:val="00303DB5"/>
    <w:rsid w:val="00392F17"/>
    <w:rsid w:val="003E14E8"/>
    <w:rsid w:val="005E0CA1"/>
    <w:rsid w:val="0060187D"/>
    <w:rsid w:val="00701726"/>
    <w:rsid w:val="00776F99"/>
    <w:rsid w:val="00787322"/>
    <w:rsid w:val="00816721"/>
    <w:rsid w:val="009D7B69"/>
    <w:rsid w:val="00A950B6"/>
    <w:rsid w:val="00AE39AE"/>
    <w:rsid w:val="00B15C61"/>
    <w:rsid w:val="00BC5651"/>
    <w:rsid w:val="00CA1FF5"/>
    <w:rsid w:val="00E228DC"/>
    <w:rsid w:val="00EF02E3"/>
    <w:rsid w:val="00EF6CB0"/>
    <w:rsid w:val="00F6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F78E"/>
  <w15:chartTrackingRefBased/>
  <w15:docId w15:val="{19701EAC-AECF-43E7-B4CD-E86A0BDA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14</cp:revision>
  <dcterms:created xsi:type="dcterms:W3CDTF">2017-07-27T02:23:00Z</dcterms:created>
  <dcterms:modified xsi:type="dcterms:W3CDTF">2017-07-27T10:45:00Z</dcterms:modified>
</cp:coreProperties>
</file>